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4"/>
        <w:pBdr/>
        <w:shd w:val="clear" w:color="ffffff" w:themeColor="background1" w:fill="ffffff" w:themeFill="background1"/>
        <w:tabs>
          <w:tab w:val="clear" w:leader="none" w:pos="708"/>
          <w:tab w:val="left" w:leader="none" w:pos="1560"/>
        </w:tabs>
        <w:spacing w:after="0" w:before="0" w:line="240" w:lineRule="auto"/>
        <w:ind w:hanging="1560" w:left="15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/>
      <w:bookmarkStart w:id="0" w:name="_Hlk59089485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Таблица 1 –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Информация </w:t>
      </w:r>
      <w:bookmarkStart w:id="1" w:name="_Hlk136358565"/>
      <w:r>
        <w:rPr>
          <w:rFonts w:ascii="Times New Roman" w:hAnsi="Times New Roman" w:cs="Times New Roman"/>
          <w:sz w:val="28"/>
          <w:szCs w:val="28"/>
        </w:rPr>
        <w:t xml:space="preserve">о невыполненной работе по размещению сведений о результатах независимой оценки качества условий оказания услуг муниципальными организациями за</w:t>
      </w:r>
      <w:r>
        <w:rPr>
          <w:rFonts w:ascii="Times New Roman" w:hAnsi="Times New Roman" w:cs="Times New Roman"/>
          <w:sz w:val="28"/>
          <w:szCs w:val="28"/>
        </w:rPr>
        <w:t xml:space="preserve"> 2024 </w:t>
      </w:r>
      <w:r>
        <w:rPr>
          <w:rFonts w:ascii="Times New Roman" w:hAnsi="Times New Roman" w:cs="Times New Roman"/>
          <w:sz w:val="28"/>
          <w:szCs w:val="28"/>
        </w:rPr>
        <w:t xml:space="preserve">год на Официальном сайте </w:t>
      </w:r>
      <w:hyperlink r:id="rId15" w:tooltip="http://www.bus.gov.ru/" w:history="1">
        <w:r>
          <w:rPr>
            <w:rStyle w:val="884"/>
            <w:rFonts w:ascii="Times New Roman" w:hAnsi="Times New Roman" w:cs="Times New Roman"/>
            <w:sz w:val="28"/>
            <w:szCs w:val="28"/>
          </w:rPr>
          <w:t xml:space="preserve">www.bus.gov.ru</w:t>
        </w:r>
      </w:hyperlink>
      <w:r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(по состоянию на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26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.0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.2025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44"/>
        <w:pBdr/>
        <w:tabs>
          <w:tab w:val="clear" w:leader="none" w:pos="708"/>
          <w:tab w:val="left" w:leader="none" w:pos="1560"/>
        </w:tabs>
        <w:spacing w:after="0" w:before="0" w:line="240" w:lineRule="auto"/>
        <w:ind w:hanging="1560"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4952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0"/>
        <w:gridCol w:w="3400"/>
        <w:gridCol w:w="2520"/>
        <w:gridCol w:w="3999"/>
        <w:gridCol w:w="4252"/>
      </w:tblGrid>
      <w:tr>
        <w:trPr>
          <w:trHeight w:val="56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0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Наименование муниципального района, городского округа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0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Состав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Общественного совета с датой утверждения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Планы по устранению недостатков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на 2025 г.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cantSplit/>
          <w:trHeight w:val="5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contextualSpacing w:val="true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0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0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 w:firstLine="0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образование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 w:firstLine="0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культура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rPr>
          <w:trHeight w:val="2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1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0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2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0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3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4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53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23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0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Менделеевский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0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15.01.2021)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30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8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______________________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* Истек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срок полномочий утвержденного состава Общественного совета по проведению независимой оценки качества условий оказания услуг (далее – ОС по НОК). Состав ОС по НОК в соотве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тствии с требованиями Федерального закона от 5 декабря 2017 года №392-ФЗ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 сфере культуры, охраны здоровья, образования, социального обслуживания и федеральными учреждениями медико-социальной экспертизы» утверждается сроком на три года. При формировании ОС по НОК на новый срок осуществляется изменение не менее трети его состава.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</w:tbl>
    <w:p>
      <w:pPr>
        <w:pStyle w:val="844"/>
        <w:pBdr/>
        <w:spacing w:after="0" w:before="0" w:line="240" w:lineRule="auto"/>
        <w:ind w:right="425" w:hanging="1560" w:left="1560"/>
        <w:jc w:val="both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headerReference w:type="first" r:id="rId10"/>
          <w:footerReference w:type="first" r:id="rId13"/>
          <w:footnotePr/>
          <w:endnotePr/>
          <w:type w:val="nextPage"/>
          <w:pgSz w:h="11906" w:orient="landscape" w:w="16838"/>
          <w:pgMar w:top="1135" w:right="678" w:bottom="1701" w:left="1134" w:header="709" w:footer="709" w:gutter="0"/>
          <w:cols w:num="1" w:sep="0" w:space="1701" w:equalWidth="1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pBdr/>
        <w:tabs>
          <w:tab w:val="clear" w:leader="none" w:pos="708"/>
          <w:tab w:val="left" w:leader="none" w:pos="1560"/>
        </w:tabs>
        <w:spacing w:after="0" w:before="0" w:line="240" w:lineRule="auto"/>
        <w:ind w:hanging="1560" w:left="15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 – </w:t>
      </w:r>
      <w:bookmarkStart w:id="3" w:name="_Hlk167958924"/>
      <w:r>
        <w:rPr>
          <w:rFonts w:ascii="Times New Roman" w:hAnsi="Times New Roman" w:cs="Times New Roman"/>
          <w:sz w:val="28"/>
          <w:szCs w:val="28"/>
        </w:rPr>
        <w:t xml:space="preserve">Информация о невыполненной работе по размещению сведений о результатах независимой оценки качества условий оказания услуг муниципальными организациями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 202</w:t>
      </w: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официальных сайтах ОМС </w:t>
      </w:r>
      <w:bookmarkEnd w:id="3"/>
      <w:r>
        <w:rPr>
          <w:rFonts w:ascii="Times New Roman" w:hAnsi="Times New Roman" w:cs="Times New Roman"/>
          <w:bCs/>
          <w:sz w:val="28"/>
          <w:szCs w:val="28"/>
        </w:rPr>
        <w:t xml:space="preserve">(по состоянию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.2025</w:t>
      </w:r>
      <w:r>
        <w:rPr>
          <w:rFonts w:ascii="Times New Roman" w:hAnsi="Times New Roman" w:cs="Times New Roman"/>
          <w:bCs/>
          <w:sz w:val="28"/>
          <w:szCs w:val="28"/>
        </w:rPr>
        <w:t xml:space="preserve">)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844"/>
        <w:pBdr/>
        <w:spacing w:after="0" w:before="0" w:line="240" w:lineRule="auto"/>
        <w:ind w:right="425" w:hanging="1560"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1074"/>
        <w:tblpPr w:horzAnchor="text" w:tblpX="67" w:vertAnchor="text" w:tblpY="1" w:leftFromText="180" w:topFromText="0" w:rightFromText="180" w:bottomFromText="0"/>
        <w:tblW w:w="5000" w:type="pct"/>
        <w:tblInd w:w="-5" w:type="dxa"/>
        <w:tblBorders/>
        <w:tblLayout w:type="fixed"/>
        <w:tblCellMar>
          <w:left w:w="57" w:type="dxa"/>
          <w:top w:w="0" w:type="dxa"/>
          <w:right w:w="57" w:type="dxa"/>
          <w:bottom w:w="0" w:type="dxa"/>
        </w:tblCellMar>
        <w:tblLook w:val="04A0" w:firstRow="1" w:lastRow="0" w:firstColumn="1" w:lastColumn="0" w:noHBand="0" w:noVBand="1"/>
      </w:tblPr>
      <w:tblGrid>
        <w:gridCol w:w="670"/>
        <w:gridCol w:w="2390"/>
        <w:gridCol w:w="2830"/>
        <w:gridCol w:w="3827"/>
        <w:gridCol w:w="3118"/>
        <w:gridCol w:w="2182"/>
        <w:gridCol w:w="9"/>
      </w:tblGrid>
      <w:tr>
        <w:trPr>
          <w:trHeight w:val="14"/>
        </w:trPr>
        <w:tc>
          <w:tcPr>
            <w:shd w:val="clear" w:color="ffffff" w:fill="ffffff"/>
            <w:tcBorders/>
            <w:tcW w:w="670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90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Наименование муниципального района,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2830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 w:eastAsia="en-US" w:bidi="ar-SA"/>
              </w:rPr>
              <w:t xml:space="preserve">Состав Общественного совета по проведению независимой оценки качества условий оказания услуг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/>
              <w:contextualSpacing w:val="false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highlight w:val="none"/>
              </w:rPr>
            </w:r>
          </w:p>
        </w:tc>
        <w:tc>
          <w:tcPr>
            <w:tcBorders/>
            <w:tcW w:w="3827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/>
              <w:contextualSpacing w:val="false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сведения о проведении мероприятий за 2024 год с указанием ссылки в информационно-телекоммуникационной сети «Интернет» (новости, информация)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gridSpan w:val="3"/>
            <w:tcBorders/>
            <w:tcW w:w="5309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Планы по устранению недостатков на 2025 г.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cantSplit/>
          <w:gridAfter w:val="1"/>
          <w:trHeight w:val="1120"/>
        </w:trPr>
        <w:tc>
          <w:tcPr>
            <w:shd w:val="clear" w:color="ffffff" w:fill="ffffff"/>
            <w:tcBorders/>
            <w:tcW w:w="670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390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830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160" w:lineRule="atLeast"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38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 w:firstLine="0"/>
              <w:contextualSpacing w:val="false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образование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2182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 w:firstLine="0"/>
              <w:contextualSpacing w:val="false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культура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</w:tr>
      <w:tr>
        <w:trPr>
          <w:gridAfter w:val="1"/>
          <w:trHeight w:val="330"/>
        </w:trPr>
        <w:tc>
          <w:tcPr>
            <w:shd w:val="clear" w:color="ffffff" w:fill="ffffff"/>
            <w:tcBorders/>
            <w:tcW w:w="670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90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2830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382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2182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gridAfter w:val="1"/>
          <w:trHeight w:val="385"/>
        </w:trPr>
        <w:tc>
          <w:tcPr>
            <w:shd w:val="clear" w:color="ffffff" w:fill="ffffff"/>
            <w:tcBorders/>
            <w:tcW w:w="670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4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90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Менделеевский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2830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15.01.2021*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3827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hd w:val="clear" w:color="auto" w:fill="auto"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2182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gridAfter w:val="1"/>
          <w:trHeight w:val="279"/>
        </w:trPr>
        <w:tc>
          <w:tcPr>
            <w:gridSpan w:val="6"/>
            <w:shd w:val="clear" w:color="ffffff" w:fill="ffffff"/>
            <w:tcBorders/>
            <w:tcW w:w="15017" w:type="dxa"/>
            <w:vMerge w:val="restart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</w:r>
            <w:bookmarkStart w:id="14" w:name="_Hlk59089503"/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* Истек срок полномочий утвержденного состава Общественного совета по проведению независимой оценки качества условий оказания услуг (далее – ОС по НОК). Состав ОС по НОК в соотве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тствии с требованиями Федерального закона от 5 декабря 2017 года №392-ФЗ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 сфере культуры, охраны здоровья, образования, социального обслуживания и федеральными учреждениями медико-социальной экспертизы» утверждается сроком на три года. При формировании ОС по НОК на новый срок осуществляется изменение не менее трети его состава.</w:t>
            </w:r>
            <w:bookmarkEnd w:id="14"/>
            <w:r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14:ligatures w14:val="none"/>
              </w:rPr>
            </w:r>
          </w:p>
        </w:tc>
      </w:tr>
    </w:tbl>
    <w:p>
      <w:pPr>
        <w:pStyle w:val="844"/>
        <w:pBdr/>
        <w:spacing w:after="0" w:before="0" w:line="240" w:lineRule="auto"/>
        <w:ind w:right="425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pBdr/>
        <w:spacing w:after="0" w:before="0" w:line="240" w:lineRule="auto"/>
        <w:ind w:right="425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pBdr/>
        <w:spacing w:after="0" w:before="0" w:line="240" w:lineRule="auto"/>
        <w:ind w:right="425" w:firstLine="0" w:left="0"/>
        <w:jc w:val="both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h="11906" w:orient="landscape" w:w="16838"/>
          <w:pgMar w:top="1135" w:right="678" w:bottom="1701" w:left="1134" w:header="709" w:footer="709" w:gutter="0"/>
          <w:cols w:num="1" w:sep="0" w:space="1701" w:equalWidth="1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pBdr/>
        <w:spacing w:after="0" w:before="0" w:line="240" w:lineRule="auto"/>
        <w:ind w:right="425" w:firstLine="709"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pBdr/>
        <w:tabs>
          <w:tab w:val="clear" w:leader="none" w:pos="708"/>
          <w:tab w:val="left" w:leader="none" w:pos="1843"/>
        </w:tabs>
        <w:spacing w:after="0" w:before="0" w:line="240" w:lineRule="auto"/>
        <w:ind w:hanging="1560" w:left="1560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/>
      <w:bookmarkStart w:id="4" w:name="_Hlk136351941"/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3 – Информация о размещении сведений о результатах независимой оценки качества условий оказания услуг муниципальными организациями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 202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38230631"/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hyperlink r:id="rId16" w:tooltip="http://www.bus.gov.ru/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www.bus.gov.ru</w:t>
        </w:r>
      </w:hyperlink>
      <w:r/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(по состоянию на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.0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.2025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pStyle w:val="844"/>
        <w:pBdr/>
        <w:spacing w:after="0" w:before="0" w:line="240" w:lineRule="auto"/>
        <w:ind w:hanging="1560" w:left="15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bookmarkStart w:id="7" w:name="_Hlk59089485_Копия_1"/>
      <w:r/>
      <w:bookmarkEnd w:id="7"/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W w:w="5000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2062"/>
        <w:gridCol w:w="2071"/>
        <w:gridCol w:w="2104"/>
        <w:gridCol w:w="2126"/>
        <w:gridCol w:w="2976"/>
        <w:gridCol w:w="2979"/>
      </w:tblGrid>
      <w:tr>
        <w:trPr>
          <w:trHeight w:val="5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Наименование муниципального района, городского округа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Состав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Общественного совета с датой утверждения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0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Перечень и сведения об организациях видов деятельности на 202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 год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Оператор на 202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 год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cantSplit/>
          <w:trHeight w:val="40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contextualSpacing w:val="true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 w:firstLine="0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образование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 w:firstLine="0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культура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 w:firstLine="0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образование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 w:firstLine="0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культура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26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1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2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3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4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6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7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56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Агрызский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15.01.2024)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5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Азнакаевский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(от 05.09.2022)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Аксубаевский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18.04.2024)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12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2"/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yellow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yellow"/>
              </w:rPr>
            </w:r>
            <w:r>
              <w:rPr>
                <w:rFonts w:ascii="Times New Roman" w:hAnsi="Times New Roman" w:eastAsia="Calibri" w:cs="Times New Roman"/>
                <w:highlight w:val="yellow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Актанышский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i/>
                <w:highlight w:val="none"/>
              </w:rPr>
            </w:pPr>
            <w:r>
              <w:rPr>
                <w:rFonts w:ascii="Times New Roman" w:hAnsi="Times New Roman" w:eastAsia="Calibri" w:cs="Times New Roman"/>
                <w:i/>
                <w:highlight w:val="none"/>
              </w:rPr>
            </w:r>
            <w:r>
              <w:rPr>
                <w:rFonts w:ascii="Times New Roman" w:hAnsi="Times New Roman" w:eastAsia="Calibri" w:cs="Times New Roman"/>
                <w:i/>
                <w:highlight w:val="none"/>
              </w:rPr>
            </w:r>
            <w:r>
              <w:rPr>
                <w:rFonts w:ascii="Times New Roman" w:hAnsi="Times New Roman" w:eastAsia="Calibri" w:cs="Times New Roman"/>
                <w:i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07.10.2024)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4"/>
            <w:shd w:val="clear" w:color="ffe699" w:themeColor="accent4" w:themeTint="66" w:fill="ffe699" w:themeFill="accent4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уточнить планы по оценке в 2025 году, с учетом того, что в 2024 году был 100 процентный охват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</w:tr>
      <w:tr>
        <w:trPr>
          <w:trHeight w:val="57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Алексеевский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03.05.2023)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52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Алькеевский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14.01.2022)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Альметьевский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14.10.2024)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52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2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61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Апастовский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23.01.2024)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auto"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</w:p>
        </w:tc>
      </w:tr>
      <w:tr>
        <w:trPr>
          <w:trHeight w:val="14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Арский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19.10.2023)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25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муниципальный контракт от 01.07.2021 с датой окончания деятельности оператора 01.07.2026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58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Атнинский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09.01.2023)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80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Бавлинский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15.01.2024)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white"/>
                <w14:ligatures w14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white"/>
                <w14:ligatures w14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47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Балтасинский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20.06.2023)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hd w:val="clear" w:color="ffffff" w:themeColor="background1" w:fill="ffffff" w:themeFill="background1"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hd w:val="clear" w:color="ffffff" w:themeColor="background1" w:fill="ffffff" w:themeFill="background1"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hd w:val="clear" w:color="ffffff" w:themeColor="background1" w:fill="ffffff" w:themeFill="background1"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20.01.2024 с датой окончания деятельности оператора 31.12.2027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306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Бугульминский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  <w:shd w:val="clear" w:color="auto" w:fill="ffe599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13.12.2023)</w:t>
            </w:r>
            <w:r>
              <w:rPr>
                <w:rFonts w:ascii="Times New Roman" w:hAnsi="Times New Roman" w:eastAsia="Calibri" w:cs="Times New Roman"/>
                <w:highlight w:val="none"/>
                <w:shd w:val="clear" w:color="auto" w:fill="ffe599"/>
              </w:rPr>
            </w:r>
            <w:r>
              <w:rPr>
                <w:rFonts w:ascii="Times New Roman" w:hAnsi="Times New Roman" w:eastAsia="Calibri" w:cs="Times New Roman"/>
                <w:highlight w:val="none"/>
                <w:shd w:val="clear" w:color="auto" w:fill="ffe59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38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2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2"/>
            <w:shd w:val="clear" w:color="fa7171" w:fill="fa717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>
          <w:trHeight w:val="14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Буинский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29.12.2022)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97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Верхнеуслонский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27.08.2024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14:ligatures w14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муниципальный контракт от 01.01.2025 с датой окончания деятельности оператора 31.12.2025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14:ligatures w14:val="none"/>
              </w:rPr>
              <w:t xml:space="preserve">оценка запланирована на 2026 год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  <w:highlight w:val="white"/>
                <w14:ligatures w14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</w:tr>
      <w:tr>
        <w:trPr>
          <w:trHeight w:val="58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Высокогорский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13.12.2025)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white"/>
                <w14:ligatures w14:val="none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white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Дрожжановский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13.01.2023)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yellow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новый состав 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от 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04.12.2024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утвержден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  ОС по НОК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yellow"/>
              </w:rPr>
            </w:r>
            <w:r>
              <w:rPr>
                <w:rFonts w:ascii="Times New Roman" w:hAnsi="Times New Roman" w:eastAsia="Calibri" w:cs="Times New Roman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0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Елабужский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  <w:shd w:val="clear" w:color="fc7777" w:fill="fc7777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hd w:val="clear" w:color="auto" w:fill="auto"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21.03.2025)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67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муниципальный контракт от 04.03.2025 с датой окончания деятельности оператора 31.12.2025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муниципальный контракт от 03.03.2025 с датой окончания деятельности оператора 30.06.2025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Заинский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30.01.2024)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10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Зеленодольский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20.04.2023)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30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муниципальный контракт от 24.10.2023 с датой окончания деятельности оператора 31.12.2028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муниципальный контракт от 23.10.2023 с датой окончания деятельности оператора 31.12.2028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5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Кайбицкий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22.01.2023)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55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Камско-Устьинский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yellow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yellow"/>
              </w:rPr>
            </w:r>
            <w:r>
              <w:rPr>
                <w:rFonts w:ascii="Times New Roman" w:hAnsi="Times New Roman" w:eastAsia="Calibri" w:cs="Times New Roman"/>
                <w:highlight w:val="yellow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(от 22.06.2022)</w:t>
            </w:r>
            <w:r>
              <w:rPr>
                <w:rFonts w:ascii="Times New Roman" w:hAnsi="Times New Roman" w:cs="Times New Roman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Кукморский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widowControl w:val="false"/>
              <w:pBdr/>
              <w:shd w:val="clear" w:color="ffffff" w:themeColor="background1" w:fill="ffffff" w:themeFill="background1"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  <w:t xml:space="preserve">(от 15.01.2024)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Лаишевский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(от 06.06.2022)</w:t>
            </w:r>
            <w:r>
              <w:rPr>
                <w:rFonts w:ascii="Times New Roman" w:hAnsi="Times New Roman" w:cs="Times New Roman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оценка запланирована на 2026 г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0"/>
                <w:szCs w:val="20"/>
                <w:highlight w:val="white"/>
                <w14:ligatures w14:val="none"/>
              </w:rPr>
              <w:t xml:space="preserve">охват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оценка запланирована на 2026 г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0"/>
                <w:szCs w:val="20"/>
                <w:highlight w:val="white"/>
                <w14:ligatures w14:val="none"/>
              </w:rPr>
              <w:t xml:space="preserve">охват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71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Лениногорский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10.10.2022 с изм. от 15.11.2022)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0"/>
                <w:szCs w:val="20"/>
                <w:highlight w:val="white"/>
                <w14:ligatures w14:val="none"/>
              </w:rPr>
              <w:t xml:space="preserve">охват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13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Мамадышский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  <w:lang w:val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val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  <w:lang w:val="en-US"/>
              </w:rPr>
            </w:r>
            <w:r>
              <w:rPr>
                <w:rFonts w:ascii="Times New Roman" w:hAnsi="Times New Roman" w:eastAsia="Calibri" w:cs="Times New Roman"/>
                <w:highlight w:val="none"/>
                <w:lang w:val="en-US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20.09.2021)*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необходимо 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разместить новый состав от 10.03.2025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color w:val="ff9999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ff9999"/>
                <w:highlight w:val="none"/>
              </w:rPr>
            </w:r>
            <w:r>
              <w:rPr>
                <w:rFonts w:ascii="Times New Roman" w:hAnsi="Times New Roman" w:cs="Times New Roman"/>
                <w:color w:val="ff9999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48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Менделеевский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15.01.2021)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widowControl w:val="false"/>
              <w:pBdr/>
              <w:shd w:val="clear" w:color="ffe699" w:themeColor="accent4" w:themeTint="66" w:fill="ffe699" w:themeFill="accent4" w:themeFillTint="66"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33</w:t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уточнить планы по оценке в 2025 году, с учетом того, что в 2024 году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не оценена только МБУ ДО «Спортивная школа по футболу и легкой атлетике»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0"/>
                <w:szCs w:val="20"/>
                <w:highlight w:val="white"/>
                <w14:ligatures w14:val="none"/>
              </w:rPr>
              <w:t xml:space="preserve">охват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0"/>
                <w:szCs w:val="20"/>
                <w:highlight w:val="white"/>
                <w14:ligatures w14:val="none"/>
              </w:rPr>
              <w:t xml:space="preserve">охват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Мензелинский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07.03.2023)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на 2026 год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4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Муслюмовский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04.02.2023)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4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04.01.2024 с датой окончания деятельности оператора 31.12.2026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29.01.2024 с датой окончания деятельности оператора 31.12.2026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98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Нижнекамский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18.04.2023)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94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green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24.12.2025 с датой окончания деятельности оператора 31.12.2026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8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Новошешминский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19.12.2023)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01.01.2025 с датой окончания деятельности оператора 31.12.2025</w:t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28.12.2024 с датой окончания деятельности оператора 31.12.2025</w:t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</w:p>
        </w:tc>
      </w:tr>
      <w:tr>
        <w:trPr>
          <w:trHeight w:val="54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Нурлатский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06.09.2022)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</w:tr>
      <w:tr>
        <w:trPr>
          <w:trHeight w:val="5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Пестречинский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11.03.2022)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21.03.2022 с датой окончания деятельности оператора 21.03.2025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21.03.2022 с датой окончания деятельности оператора 21.03.2025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10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Рыбно-Слободский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tabs>
                <w:tab w:val="clear" w:leader="none" w:pos="708"/>
                <w:tab w:val="center" w:leader="none" w:pos="1109"/>
                <w:tab w:val="right" w:leader="none" w:pos="2218"/>
              </w:tabs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19.01.2024)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2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3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14.04.2025 с датой окончания деятельности оператора 31.12.202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03.03.2025 с датой окончания деятельности оператора 31.12.202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5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Сабинский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12.08.2024)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none"/>
                <w14:ligatures w14:val="none"/>
              </w:rPr>
              <w:t xml:space="preserve">на 2025 год оценка не запланирована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на 2025 год оценка не запланирована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3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Сармановский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04.04.2022)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afterAutospacing="0" w:before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afterAutospacing="0" w:before="0"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46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Спасский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25.12.2023)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Тетюшский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17.01.2022)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12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муниципальный контракт от 06.04.2024 с датой окончания деятельности оператора 05.04.2025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Тукаевский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05.12.2023)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28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муниципальный контракт от 21.12.2023 с датой окончания деятельности оператора 31.12.2026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rPr>
          <w:trHeight w:val="2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Тюлячинский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(от 26.12.2023)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 процентный охват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в 2024 году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rPr>
          <w:trHeight w:val="100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Черемшанский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15.01.2024)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hd w:val="clear" w:color="auto" w:fill="auto"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gree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white"/>
                <w14:ligatures w14:val="none"/>
              </w:rPr>
              <w:t xml:space="preserve">муниципальный контракт от 16.01.2024 с датой окончания деятельности оператора 16.01.2027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</w:tr>
      <w:tr>
        <w:trPr>
          <w:trHeight w:val="58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Чистопольский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08.10.2024)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white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highlight w:val="white"/>
                <w14:ligatures w14:val="none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 процентный охват в 2024 году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>
          <w:trHeight w:val="5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Ютазинский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11.08.2022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34</w:t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3</w:t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whit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19.01.2023 с датой окончания деятельности оператора 31.12.2025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52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г. Набережные Челны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23.03.2022)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4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66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1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муниципальный контракт от 09.01.2025 с датой окончания деятельности оператора 31.12.2027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40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1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г. Казань:</w:t>
            </w:r>
            <w:r>
              <w:rPr>
                <w:rFonts w:ascii="Times New Roman" w:hAnsi="Times New Roman" w:eastAsia="Calibri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в сфере культуры</w:t>
            </w:r>
            <w:r>
              <w:rPr>
                <w:rFonts w:ascii="Times New Roman" w:hAnsi="Times New Roman" w:eastAsia="Calibri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highlight w:val="none"/>
                <w14:ligatures w14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12.01.2022)*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hd w:val="clear" w:color="auto" w:fill="auto"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о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ц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енка запланирована на 2026 год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4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в сфере молодежной политики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highlight w:val="none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highlight w:val="none"/>
              </w:rPr>
              <w:t xml:space="preserve">(от 12.01.2022)*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о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ц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енка запланирована на 2026 год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/>
          </w:p>
        </w:tc>
      </w:tr>
      <w:tr>
        <w:trPr>
          <w:trHeight w:val="47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в сфере образования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(от 09.12.2024)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0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222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contextualSpacing w:val="true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2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в сфере физической культуры и спорта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(от 15.02.2024)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hd w:val="clear" w:color="auto" w:fill="auto"/>
              <w:spacing w:after="160" w:before="0"/>
              <w:ind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о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ц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енка запланирована на 2026 год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</w:tr>
      <w:tr>
        <w:trPr>
          <w:trHeight w:val="306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2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______________________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both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* Истек (истекает) срок полномочий утвержденного состава Общественного совета по проведению независимой оценки качества условий оказания услуг (далее – ОС по НОК). Состав ОС по НОК в соотве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тствии с требованиями Федерального закона от 5 декабря 2017 года №392-ФЗ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 сфере культуры, охраны здоровья, образования, социального обслуживания и федеральными учреждениями медико-социальной экспертизы» утверждается сроком на три года. При формировании ОС по НОК на новый срок осуществляется изменение не менее трети его состава.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** Обновить состав ОС по НОК после размещения информации на сайте www.bus,gov.ru за 2025 год в полном объеме.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1906" w:orient="landscape" w:w="16838"/>
          <w:pgMar w:top="1135" w:right="678" w:bottom="1701" w:left="1134" w:header="709" w:footer="709" w:gutter="0"/>
          <w:pgNumType w:start="1"/>
          <w:cols w:num="1" w:sep="0" w:space="1701" w:equalWidth="1"/>
          <w:titlePg/>
        </w:sectPr>
      </w:pPr>
      <w:r/>
      <w:r/>
    </w:p>
    <w:p>
      <w:pPr>
        <w:pBdr/>
        <w:spacing/>
        <w:ind/>
        <w:rPr/>
        <w:sectPr>
          <w:footnotePr/>
          <w:endnotePr/>
          <w:type w:val="continuous"/>
          <w:pgSz w:h="11906" w:orient="landscape" w:w="16838"/>
          <w:pgMar w:top="1135" w:right="678" w:bottom="1701" w:left="1134" w:header="709" w:footer="0" w:gutter="0"/>
          <w:cols w:num="1" w:sep="0" w:space="1701" w:equalWidth="1"/>
          <w:titlePg/>
        </w:sectPr>
      </w:pPr>
      <w:r/>
      <w:r/>
      <w:r/>
    </w:p>
    <w:p>
      <w:pPr>
        <w:pStyle w:val="844"/>
        <w:pBdr/>
        <w:tabs>
          <w:tab w:val="left" w:leader="none" w:pos="567"/>
        </w:tabs>
        <w:spacing/>
        <w:ind w:right="0" w:hanging="1559" w:left="1559"/>
        <w:jc w:val="both"/>
        <w:rPr>
          <w:rFonts w:eastAsia="Calibri"/>
          <w:sz w:val="28"/>
          <w:szCs w:val="22"/>
          <w:highlight w:val="white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Таблица 4 – Информация о реализации независимой оценки качества условий оказания услуг в разрезе муниципальных образований Республики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Татарстан</w:t>
      </w:r>
      <w:r>
        <w:rPr>
          <w:rFonts w:ascii="Times New Roman" w:hAnsi="Times New Roman" w:eastAsia="Calibri" w:cs="Times New Roman"/>
          <w:bCs/>
          <w:sz w:val="36"/>
          <w:szCs w:val="36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на официальных сайтах ОМС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за 202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5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(по состоянию на </w:t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white"/>
        </w:rPr>
        <w:t xml:space="preserve">.0</w:t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white"/>
        </w:rPr>
        <w:t xml:space="preserve">.2025</w:t>
      </w:r>
      <w:r>
        <w:rPr>
          <w:rFonts w:ascii="Times New Roman" w:hAnsi="Times New Roman" w:eastAsia="Calibri" w:cs="Times New Roman"/>
          <w:bCs/>
          <w:sz w:val="28"/>
          <w:szCs w:val="28"/>
          <w:highlight w:val="white"/>
        </w:rPr>
        <w:t xml:space="preserve">)</w:t>
      </w:r>
      <w:r>
        <w:rPr>
          <w:rFonts w:eastAsia="Calibri"/>
          <w:sz w:val="28"/>
          <w:szCs w:val="22"/>
          <w:highlight w:val="white"/>
        </w:rPr>
      </w:r>
      <w:r>
        <w:rPr>
          <w:rFonts w:eastAsia="Calibri"/>
          <w:sz w:val="28"/>
          <w:szCs w:val="22"/>
          <w:highlight w:val="white"/>
        </w:rPr>
      </w:r>
    </w:p>
    <w:tbl>
      <w:tblPr>
        <w:tblStyle w:val="1074"/>
        <w:tblpPr w:horzAnchor="text" w:tblpX="67" w:vertAnchor="text" w:tblpY="1" w:leftFromText="180" w:topFromText="0" w:rightFromText="180" w:bottomFromText="0"/>
        <w:tblW w:w="4931" w:type="pct"/>
        <w:tblInd w:w="-5" w:type="dxa"/>
        <w:tblBorders/>
        <w:tblLayout w:type="fixed"/>
        <w:tblCellMar>
          <w:left w:w="57" w:type="dxa"/>
          <w:top w:w="0" w:type="dxa"/>
          <w:right w:w="57" w:type="dxa"/>
          <w:bottom w:w="0" w:type="dxa"/>
        </w:tblCellMar>
        <w:tblLook w:val="04A0" w:firstRow="1" w:lastRow="0" w:firstColumn="1" w:lastColumn="0" w:noHBand="0" w:noVBand="1"/>
      </w:tblPr>
      <w:tblGrid>
        <w:gridCol w:w="647"/>
        <w:gridCol w:w="2315"/>
        <w:gridCol w:w="1638"/>
        <w:gridCol w:w="1007"/>
        <w:gridCol w:w="1276"/>
        <w:gridCol w:w="1701"/>
        <w:gridCol w:w="1843"/>
        <w:gridCol w:w="1984"/>
        <w:gridCol w:w="1990"/>
      </w:tblGrid>
      <w:tr>
        <w:trPr>
          <w:trHeight w:val="14"/>
        </w:trPr>
        <w:tc>
          <w:tcPr>
            <w:shd w:val="clear" w:color="ffffff" w:fill="ffffff"/>
            <w:tcBorders/>
            <w:tcW w:w="647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Наименование муниципального района, городского округа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638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  <w:lang w:val="ru-RU" w:eastAsia="en-US" w:bidi="ar-SA"/>
              </w:rPr>
              <w:t xml:space="preserve">Решение о выборе организации-операторе на 202</w:t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  <w:lang w:val="ru-RU" w:eastAsia="en-US" w:bidi="ar-SA"/>
              </w:rPr>
              <w:t xml:space="preserve"> год</w:t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/>
            <w:tcW w:w="2283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Перечень оце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ниваемых организа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ций на 2025 год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83" w:lineRule="exact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  <w:lang w:val="ru-RU" w:eastAsia="en-US" w:bidi="ar-SA"/>
              </w:rPr>
              <w:t xml:space="preserve">Состав Общественного совета по проведению независимой оценки качества условий оказания услуг</w:t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highlight w:val="none"/>
              </w:rPr>
            </w:r>
          </w:p>
        </w:tc>
        <w:tc>
          <w:tcPr>
            <w:gridSpan w:val="3"/>
            <w:tcBorders/>
            <w:tcW w:w="581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bookmarkStart w:id="8" w:name="_Hlk32574944"/>
            <w:r>
              <w:rPr>
                <w:sz w:val="24"/>
                <w:szCs w:val="24"/>
                <w:highlight w:val="none"/>
              </w:rPr>
            </w:r>
            <w:bookmarkStart w:id="9" w:name="_Hlk85116155"/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Сведения о мероприятиях по информированию граждан о возможности их участия в проведении независимой оценки </w:t>
            </w:r>
            <w:bookmarkEnd w:id="9"/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качества</w:t>
            </w:r>
            <w:bookmarkEnd w:id="8"/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 в 202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 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</w:tr>
      <w:tr>
        <w:trPr>
          <w:cantSplit/>
          <w:trHeight w:val="2152"/>
        </w:trPr>
        <w:tc>
          <w:tcPr>
            <w:shd w:val="clear" w:color="ffffff" w:fill="ffffff"/>
            <w:tcBorders/>
            <w:tcW w:w="647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315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638" w:type="dxa"/>
            <w:vMerge w:val="continue"/>
            <w:textDirection w:val="btLr"/>
            <w:noWrap w:val="false"/>
          </w:tcPr>
          <w:p>
            <w:pPr>
              <w:pStyle w:val="844"/>
              <w:widowControl w:val="false"/>
              <w:pBdr/>
              <w:spacing w:after="0" w:before="0" w:line="160" w:lineRule="atLeast"/>
              <w:ind w:right="113" w:firstLine="0" w:left="113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 w:firstLine="0"/>
              <w:contextualSpacing w:val="false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  <w:lang w:val="ru-RU" w:eastAsia="en-US" w:bidi="ar-SA"/>
              </w:rPr>
              <w:t xml:space="preserve">образование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 w:firstLine="0"/>
              <w:contextualSpacing w:val="false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  <w:lang w:val="ru-RU" w:eastAsia="en-US" w:bidi="ar-SA"/>
              </w:rPr>
              <w:t xml:space="preserve">культура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1701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160" w:lineRule="atLeast"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60" w:lineRule="atLeast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  <w:t xml:space="preserve">сведения о проведении мероприятий за 202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  <w:t xml:space="preserve"> год с указанием ссылки в информационно-телекоммуникационной сети «Интернет» (новости, информация)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20" w:lineRule="atLeast"/>
              <w:ind w:right="57" w:firstLine="0" w:left="57"/>
              <w:contextualSpacing w:val="false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  <w:lang w:val="ru-RU" w:eastAsia="en-US" w:bidi="ar-SA"/>
              </w:rPr>
              <w:t xml:space="preserve">реализация технической возможности выражения мнений граждан о качестве условий оказания услуг (анкеты для интернет-опроса)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120" w:lineRule="atLeast"/>
              <w:ind w:right="57" w:firstLine="0" w:left="57"/>
              <w:contextualSpacing w:val="false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bookmarkStart w:id="10" w:name="_Hlk139966125"/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  <w:lang w:val="ru-RU" w:eastAsia="en-US" w:bidi="ar-SA"/>
              </w:rPr>
              <w:t xml:space="preserve">план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  <w:t xml:space="preserve">п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  <w:lang w:val="ru-RU" w:eastAsia="en-US" w:bidi="ar-SA"/>
              </w:rPr>
              <w:t xml:space="preserve">роведения публичных мероприятий для информирования населения на 202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  <w:lang w:val="ru-RU" w:eastAsia="en-US" w:bidi="ar-SA"/>
              </w:rPr>
              <w:t xml:space="preserve"> г. </w:t>
            </w:r>
            <w:bookmarkEnd w:id="10"/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</w:tr>
      <w:tr>
        <w:trPr>
          <w:trHeight w:val="415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757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Агрызский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15.01.2024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89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Азнакаевский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/>
            <w:tcW w:w="1701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hd w:val="clear" w:color="ffe699" w:themeColor="accent4" w:themeTint="66" w:fill="ffe699" w:themeFill="accent4" w:themeFillTint="66"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highlight w:val="none"/>
                <w:lang w:eastAsia="en-US" w:bidi="ar-SA"/>
              </w:rPr>
              <w:t xml:space="preserve">от 05.09.2022</w:t>
            </w:r>
            <w:r>
              <w:rPr>
                <w:rFonts w:ascii="Times New Roman" w:hAnsi="Times New Roman" w:cs="Times New Roman"/>
                <w:highlight w:val="none"/>
                <w:lang w:eastAsia="en-US" w:bidi="ar-SA"/>
              </w:rPr>
              <w:t xml:space="preserve">*</w:t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highlight w:val="none"/>
                <w14:ligatures w14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hd w:val="clear" w:color="fc7777" w:fill="fc7777"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c7777" w:fill="fc7777"/>
            <w:tcBorders/>
            <w:tcW w:w="1984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(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по культуре неактивен интернет-опрос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  <w:t xml:space="preserve">)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hd w:val="clear" w:color="fc7777" w:fill="fc7777"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Аксубаевский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18.04.2024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hd w:val="clear" w:color="fc7777" w:fill="fc7777"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Актанышский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shd w:val="clear" w:color="ffe699" w:themeColor="accent4" w:themeTint="66" w:fill="ffe699" w:themeFill="accent4" w:themeFillTint="66"/>
            <w:tcBorders/>
            <w:tcW w:w="3921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уточнить планы по оценке в 2025 году, с учетом того, что в 2024 году был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обеспечен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100 процентный охват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07.10.2024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06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Алексеевский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на 2026 год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highlight w:val="white"/>
              </w:rPr>
            </w:r>
            <w:bookmarkStart w:id="11" w:name="_Hlk85201640"/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03.05.202</w:t>
            </w:r>
            <w:bookmarkEnd w:id="11"/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3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hd w:val="clear" w:color="auto" w:fill="auto"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Алькеевский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14.01.2022 *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*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c7777" w:fill="fc7777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Альметьевский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от 14.10.2024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Апастовский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shd w:val="clear" w:color="ffffff" w:fill="ffffff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23.01.2024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hd w:val="clear" w:color="fa7171" w:fill="fa7171"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rPr>
          <w:trHeight w:val="257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Арский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fffff" w:fill="ffffff"/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от 19.10.2023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hd w:val="clear" w:color="fa7171" w:fill="fa7171"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c7777" w:fill="fc7777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истек срок действия анкет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13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Атнинский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на 2026 год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от 09.01.2023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Бавлинский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shd w:val="clear" w:color="ffffff" w:fill="ffffff"/>
            <w:tcBorders/>
            <w:tcW w:w="2645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  <w:p>
            <w:pPr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т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15.01.2024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451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Балтасинский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tcBorders/>
            <w:tcW w:w="264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оценка 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запланирована на 2026 год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от 20.06.2023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+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3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Бугульминский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6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hd w:val="clear" w:color="auto" w:fill="auto"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hd w:val="clear" w:color="auto" w:fill="auto"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none"/>
                <w:lang w:val="ru-RU" w:eastAsia="en-US" w:bidi="ar-SA"/>
              </w:rPr>
              <w:t xml:space="preserve">от 13.12.2023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 новость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rPr>
          <w:trHeight w:val="30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Буинский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запланирована на 2026 год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29.12.2022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Верхнеуслонский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05.12.2024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оценка запланирована на 2026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27.08.2024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715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Высокогорский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6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/>
            <w:tcW w:w="1701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от 13.02.2025</w:t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еренести решение о составе из вкладки «Перечень организаций» во вкладку «Положение об ОС по НОК»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1 новость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Дрожжановский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6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/>
            <w:tcW w:w="1701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от 13.01.2023</w:t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новый состав от 04.12.2024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 некоррект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ный, т.к.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 утвержден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 ОС по НОК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lang w:val="ru-RU" w:eastAsia="en-US" w:bidi="ar-SA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86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Елабужский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21.03.2025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337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Заинский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shd w:val="clear" w:color="ffffff" w:fill="ffffff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00 процентный охват в 2024 году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30.01.2024 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362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Зеленодольский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fill="ffffff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20.04.2023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23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Кайбицкий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2026 год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22.01.2023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535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Камско-Устьинский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2026 год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</w:p>
        </w:tc>
        <w:tc>
          <w:tcPr>
            <w:shd w:val="clear" w:color="fc7777" w:fill="fc7777"/>
            <w:tcBorders/>
            <w:tcW w:w="1701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22.06.2022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*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934"/>
              <w:widowControl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16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Кукморский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shd w:val="clear" w:color="ffffff" w:fill="ffffff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от 15.01.2024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934"/>
              <w:widowControl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791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Лаишевский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shd w:val="clear" w:color="ffffff" w:fill="ffffff"/>
            <w:tcBorders/>
            <w:tcW w:w="26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оценка запланирована на 2026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 год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701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06.06.2022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2 новости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955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Лениногорский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10.10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.2022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bookmarkStart w:id="13" w:name="_Hlk140657874"/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(с изм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. от 15.11.2022)</w:t>
            </w:r>
            <w:bookmarkEnd w:id="13"/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1 новость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Мамадышский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34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10.03.202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5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14:ligatures w14:val="none"/>
              </w:rPr>
              <w:t xml:space="preserve">3 новости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rPr>
          <w:trHeight w:val="279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Менделеевский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c7777" w:fill="fc7777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r>
          </w:p>
        </w:tc>
        <w:tc>
          <w:tcPr>
            <w:shd w:val="clear" w:color="fc7777" w:fill="fc7777"/>
            <w:tcBorders/>
            <w:tcW w:w="1007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не обеспе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чивается 100 процент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ный охват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(в 2024 году  не вклю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чена спортив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ная школа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:lang w:eastAsia="en-US" w:bidi="ar-SA"/>
              </w:rPr>
              <w:t xml:space="preserve">по футболу и легкой атлетике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15.01.2021*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c7777" w:fill="fc7777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Мензелинский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2026 год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07.03.2023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2 новости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Муслюмовский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fill="ffffff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04.02.2023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/>
            <w:tcW w:w="19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необходимо исключить неактуальны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е анкеты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Нижнекамский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fill="ffffff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оценка запланирована на 2026 год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en-US" w:eastAsia="en-US" w:bidi="ar-SA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en-US" w:eastAsia="en-US"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.20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en-US" w:eastAsia="en-US" w:bidi="ar-SA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485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Новошешминский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19.12.2023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2 новости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252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Нурлатский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6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06.09.2022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82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Пестречинский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fill="ffffff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11.03.2022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Рыбно-Слободский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19.01.2024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fffff" w:fill="fffff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7 новостей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847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Сабинский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2"/>
            <w:shd w:val="clear" w:color="ffffff" w:fill="ffffff"/>
            <w:tcBorders/>
            <w:tcW w:w="2645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оценка на 2025 год не запланирована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160" w:before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  <w:t xml:space="preserve">100 процентный охват в 2024 году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12.08.2024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fffff" w:fill="fffff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2 новости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207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Сармановский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6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  <w14:ligatures w14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  <w14:ligatures w14:val="none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04.04.2022*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248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Спасский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25.12.2023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55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Тетюшский 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007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17.01.2022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872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Тукаевский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05.12.2023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3 новости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a7f7f" w:fill="fa7f7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(истек срок действия анкет)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289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Тюлячинский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100 процентный охват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 в 2024 году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26.12.2023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Черемшанский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15.01.2024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Чистопольский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100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  <w:t xml:space="preserve">процентный охват в 2024 году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08.10.2024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Ютазинский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themeColor="background1" w:fill="ffffff" w:themeFill="background1"/>
            <w:tcBorders/>
            <w:tcW w:w="1276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от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en-US" w:eastAsia="en-US" w:bidi="ar-SA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.0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en-US" w:eastAsia="en-US" w:bidi="ar-SA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.20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en-US" w:eastAsia="en-US" w:bidi="ar-SA"/>
              </w:rPr>
              <w:t xml:space="preserve">22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en-US" w:eastAsia="en-US" w:bidi="ar-SA"/>
              </w:rPr>
              <w:t xml:space="preserve">**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fffff" w:fill="fffff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1 новость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441"/>
        </w:trPr>
        <w:tc>
          <w:tcPr>
            <w:shd w:val="clear" w:color="ffffff" w:fill="ffffff"/>
            <w:tcBorders/>
            <w:tcW w:w="647" w:type="dxa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Город Набережные Челны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tcBorders/>
            <w:tcW w:w="163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/>
            <w:tcW w:w="1007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shd w:val="clear" w:color="fa7f7f" w:fill="fa7f7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от 17.04.2025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(некоррект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ный документ, состав не соответствует требованиям законодатель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ств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а</w:t>
            </w:r>
            <w:r>
              <w:rPr>
                <w:rFonts w:ascii="Times New Roman" w:hAnsi="Times New Roman" w:eastAsia="Calibri" w:cs="Times New Roman"/>
                <w:highlight w:val="none"/>
              </w:rPr>
              <w:t xml:space="preserve">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+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vMerge w:val="restart"/>
            <w:textDirection w:val="lrTb"/>
            <w:noWrap w:val="false"/>
          </w:tcPr>
          <w:p>
            <w:pPr>
              <w:pStyle w:val="912"/>
              <w:widowControl w:val="false"/>
              <w:numPr>
                <w:ilvl w:val="0"/>
                <w:numId w:val="2"/>
              </w:numPr>
              <w:suppressLineNumbers w:val="false"/>
              <w:pBdr/>
              <w:spacing w:after="0" w:before="0" w:line="240" w:lineRule="auto"/>
              <w:ind w:right="0" w:firstLine="0" w:left="22"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Город Казань: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Управление культуры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shd w:val="clear" w:color="ffffff" w:fill="ffffff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a7f7f" w:fill="fa7f7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12.01.2022*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a7f7f" w:fill="fa7f7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afterAutospacing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</w:r>
          </w:p>
          <w:p>
            <w:pPr>
              <w:widowControl w:val="false"/>
              <w:suppressLineNumbers w:val="false"/>
              <w:pBdr/>
              <w:spacing w:after="0" w:afterAutospacing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  <w:t xml:space="preserve">(анкета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</w:r>
          </w:p>
          <w:p>
            <w:pPr>
              <w:widowControl w:val="false"/>
              <w:suppressLineNumbers w:val="false"/>
              <w:pBdr/>
              <w:spacing w:after="0" w:afterAutospacing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  <w:t xml:space="preserve">недоступна по ссылке)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contextualSpacing w:val="true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Комитет по делам детей и молодежи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shd w:val="clear" w:color="ffffff" w:fill="ffffff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оценка запланирована на 2026 год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</w:p>
        </w:tc>
        <w:tc>
          <w:tcPr>
            <w:shd w:val="clear" w:color="fa7f7f" w:fill="fa7f7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от 12.01.2022*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contextualSpacing w:val="true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Управление образования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shd w:val="clear" w:color="fa7f7f" w:fill="fa7f7f"/>
            <w:tcBorders/>
            <w:tcW w:w="16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/>
            <w:tcW w:w="2283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  <w:t xml:space="preserve">+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т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 09.12.202</w:t>
            </w:r>
            <w:r>
              <w:rPr>
                <w:rFonts w:ascii="Times New Roman" w:hAnsi="Times New Roman" w:eastAsia="Calibri" w:cs="Times New Roman"/>
                <w:highlight w:val="white"/>
              </w:rPr>
              <w:t xml:space="preserve">4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 новост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и</w:t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  <w:r>
              <w:rPr>
                <w:rFonts w:ascii="Times New Roman" w:hAnsi="Times New Roman" w:eastAsia="Calibri" w:cs="Times New Roman"/>
                <w:highlight w:val="white"/>
              </w:rPr>
            </w:r>
          </w:p>
        </w:tc>
        <w:tc>
          <w:tcPr>
            <w:shd w:val="clear" w:color="ffffff" w:fill="ffffff"/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19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+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rPr>
          <w:trHeight w:val="14"/>
        </w:trPr>
        <w:tc>
          <w:tcPr>
            <w:shd w:val="clear" w:color="ffffff" w:fill="ffffff"/>
            <w:tcBorders/>
            <w:tcW w:w="647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contextualSpacing w:val="true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315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Комитет физической культуры и спорта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</w:p>
        </w:tc>
        <w:tc>
          <w:tcPr>
            <w:gridSpan w:val="3"/>
            <w:shd w:val="clear" w:color="ffffff" w:fill="ffffff"/>
            <w:tcBorders/>
            <w:tcW w:w="392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оценка запланирована на 2026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844"/>
              <w:widowControl w:val="false"/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170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highlight w:val="white"/>
                <w:lang w:val="ru-RU" w:eastAsia="en-US" w:bidi="ar-SA"/>
              </w:rPr>
              <w:t xml:space="preserve">от 15.02.2024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widowControl w:val="false"/>
              <w:pBdr/>
              <w:spacing w:after="0" w:before="0" w:line="240" w:lineRule="auto"/>
              <w:ind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:lang w:val="ru-RU" w:eastAsia="en-US" w:bidi="ar-SA"/>
              </w:rPr>
              <w:t xml:space="preserve">1 новость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  <w:lang w:val="ru-RU" w:eastAsia="en-US" w:bidi="ar-SA"/>
              </w:rPr>
              <w:t xml:space="preserve">+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a7f7f" w:fill="fa7f7f"/>
            <w:tcBorders/>
            <w:tcW w:w="1990" w:type="dxa"/>
            <w:textDirection w:val="lrTb"/>
            <w:noWrap w:val="false"/>
          </w:tcPr>
          <w:p>
            <w:pPr>
              <w:pBdr/>
              <w:spacing w:after="0" w:afterAutospacing="0" w:line="240" w:lineRule="auto"/>
              <w:ind w:firstLine="0" w:left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Bdr/>
              <w:spacing w:after="0" w:afterAutospacing="0" w:line="240" w:lineRule="auto"/>
              <w:ind w:firstLine="0" w:left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(некорректные сроки плановых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Bdr/>
              <w:spacing w:after="0" w:afterAutospacing="0" w:line="240" w:lineRule="auto"/>
              <w:ind w:firstLine="0"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мероприятий)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4"/>
        </w:trPr>
        <w:tc>
          <w:tcPr>
            <w:gridSpan w:val="9"/>
            <w:shd w:val="clear" w:color="ffffff" w:fill="ffffff"/>
            <w:tcBorders/>
            <w:tcW w:w="14400" w:type="dxa"/>
            <w:vMerge w:val="restart"/>
            <w:textDirection w:val="lrTb"/>
            <w:noWrap w:val="false"/>
          </w:tcPr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______________________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* Истек (истекает) срок полномочий утвержденного состава Общественного совета по проведению независимой оценки качества условий оказания услуг (далее – ОС по НОК). Состав ОС по НОК в соотве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тствии с требованиями Федерального закона от 5 декабря 2017 года №392-ФЗ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 сфере культуры, охраны здоровья, образования, социального обслуживания и федеральными учреждениями медико-социальной экспертизы» утверждается сроком на три года. При формировании ОС по НОК на новый срок осуществляется изменение не менее трети его состава.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** Обновить состав ОС по НОК после размещения информации на сайте www.bus,gov.ru за 2025 год в полном объеме.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14:ligatures w14:val="none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1906" w:orient="landscape" w:w="16838"/>
          <w:pgMar w:top="1135" w:right="1103" w:bottom="1701" w:left="1134" w:header="709" w:footer="709" w:gutter="0"/>
          <w:pgNumType w:start="1"/>
          <w:cols w:num="1" w:sep="0" w:space="1701" w:equalWidth="1"/>
          <w:titlePg/>
        </w:sectPr>
      </w:pPr>
      <w:r/>
      <w:r/>
    </w:p>
    <w:p>
      <w:pPr>
        <w:pBdr/>
        <w:spacing/>
        <w:ind/>
        <w:rPr/>
        <w:sectPr>
          <w:footnotePr/>
          <w:endnotePr/>
          <w:type w:val="continuous"/>
          <w:pgSz w:h="11906" w:orient="landscape" w:w="16838"/>
          <w:pgMar w:top="1135" w:right="1103" w:bottom="1701" w:left="1134" w:header="709" w:footer="0" w:gutter="0"/>
          <w:cols w:num="1" w:sep="0" w:space="1701" w:equalWidth="1"/>
          <w:titlePg/>
        </w:sectPr>
      </w:pPr>
      <w:r/>
      <w:r/>
      <w:r/>
    </w:p>
    <w:p>
      <w:pPr>
        <w:pStyle w:val="844"/>
        <w:pBdr/>
        <w:spacing/>
        <w:ind w:right="-139" w:hanging="1559" w:left="1134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– Информация по охвату муниципальных организаций независимой оценкой качества условий оказания услуг в 2024</w:t>
      </w:r>
      <w:r>
        <w:rPr>
          <w:rFonts w:ascii="Times New Roman" w:hAnsi="Times New Roman" w:cs="Times New Roman"/>
          <w:sz w:val="28"/>
          <w:szCs w:val="28"/>
        </w:rPr>
        <w:t xml:space="preserve">-2025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 в разрезе муниципальных образований от общего количества муниципальных организаций в разрезе видов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(по состоянию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.0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.2025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4"/>
        <w:suppressLineNumbers w:val="false"/>
        <w:pBdr/>
        <w:spacing w:after="0" w:before="0" w:line="240" w:lineRule="auto"/>
        <w:ind w:right="425" w:hanging="1560" w:left="1560"/>
        <w:contextualSpacing w:val="fals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15590" w:type="dxa"/>
        <w:tblInd w:w="-42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92"/>
        <w:gridCol w:w="926"/>
        <w:gridCol w:w="992"/>
        <w:gridCol w:w="1134"/>
        <w:gridCol w:w="992"/>
        <w:gridCol w:w="1190"/>
        <w:gridCol w:w="1084"/>
        <w:gridCol w:w="892"/>
        <w:gridCol w:w="944"/>
        <w:gridCol w:w="1217"/>
        <w:gridCol w:w="909"/>
        <w:gridCol w:w="1276"/>
        <w:gridCol w:w="1276"/>
      </w:tblGrid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vMerge w:val="restart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Наименование муниципального района, городского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8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 деятельности «Образование»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 деятельности «Культура»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6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количество организаций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охват муниципальных организаций независимой оценкой, процентов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2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количество организаций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44"/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охват муниципальных организаций независимой оценкой, процентов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vMerge w:val="continue"/>
            <w:textDirection w:val="lrTb"/>
            <w:noWrap w:val="false"/>
          </w:tcPr>
          <w:p>
            <w:pPr>
              <w:pStyle w:val="844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жащих оценке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оценен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ных в 2024 г.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заплани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рованных к оценке в 2025г.</w:t>
            </w:r>
            <w:r/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оцененных в 2025 г.</w:t>
            </w:r>
            <w:r/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 учетом фактичес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ких данных за 2024 г. и плана на 2025 г.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 учетом фактических данных за 2024-2025 гг.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жащих оценке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оценен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ных в 2024 г.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заплани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рованных к оценке в 2025г.</w:t>
            </w:r>
            <w:r/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оценен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ных в 2025 г.</w:t>
            </w:r>
            <w:r/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 учетом фактичес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ких данных за 2024 г. и плана на 2025 г.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 учетом фактичес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ких данных за 2024-2025 гг.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Агрызский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hd w:val="clear" w:color="auto" w:fill="auto"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hd w:val="clear" w:color="auto" w:fill="auto"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Азнакаевский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Аксубаевский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60,5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66,7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Актанышский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Алексеевский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Алькеевский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83,0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Альметьевский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153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68,0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34,0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66,7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Апастовский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Арский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66,7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Атнинский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Бавлинский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Балтасинский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42,0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42,0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Бугульминский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Буинский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Верхнеуслонский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40,6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Высокогорский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Дрожжановский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Елабужский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Заинский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Зеленодольский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57,7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28,8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Кайбицкий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Камско-Устьинский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Кукморский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Лаишевский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85,0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85,0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Лениногорский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2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Мамадышский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7c8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c7777" w:fill="fc777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4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Менделеевский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33**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97,4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e699" w:themeColor="accent4" w:themeTint="66" w:fill="ffe699" w:themeFill="accent4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97,4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Мензелинский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Муслюмовский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66,7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24,2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66,7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Нижнекамский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175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36,0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Новошешминский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Нурлатский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Пестречинский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16,2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Рыбно-Слободский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34,3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Сабинский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98,5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98,5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Сармановский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Спасский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Тетюшский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59,0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28,2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Тукаевский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Тюлячинский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Черемшанский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Чистопольский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Ютазинский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6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Набережные Челны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237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61,2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33,3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63,6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63,6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Казань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561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222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39,6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7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Итого муниципальным образованиям РТ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0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243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9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56,8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uppressLineNumbers w:val="false"/>
              <w:pBdr/>
              <w:spacing w:after="0" w:before="0"/>
              <w:ind/>
              <w:contextualSpacing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37,4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731"/>
        </w:trPr>
        <w:tc>
          <w:tcPr>
            <w:gridSpan w:val="1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23" w:type="dxa"/>
            <w:vMerge w:val="restart"/>
            <w:textDirection w:val="lrTb"/>
            <w:noWrap w:val="false"/>
          </w:tcPr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left"/>
              <w:rPr>
                <w:rFonts w:ascii="undefined" w:hAnsi="undefined" w:cs="undefined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______________________________</w:t>
            </w:r>
            <w:r>
              <w:rPr>
                <w:rFonts w:ascii="undefined" w:hAnsi="undefined" w:cs="undefined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undefined" w:hAnsi="undefined" w:cs="undefined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  <w:p>
            <w:pPr>
              <w:suppressLineNumbers w:val="false"/>
              <w:pBdr/>
              <w:spacing w:after="0" w:before="0" w:line="259" w:lineRule="auto"/>
              <w:ind/>
              <w:contextualSpacing w:val="false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Оценка  запланирована на 2026 год.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contextualSpacing w:val="false"/>
              <w:jc w:val="both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** Требуется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</w:rPr>
              <w:t xml:space="preserve">уточнить планы по оценке в 2025 году, с учетом того, что в 2024 году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не оценена только МБУ ДО «Спортивная школа по футболу и легкой атлетике»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  <w:lang w:val="ru-RU" w:eastAsia="en-US" w:bidi="ar-SA"/>
                <w14:ligatures w14:val="none"/>
              </w:rPr>
            </w:r>
          </w:p>
          <w:p>
            <w:pPr>
              <w:widowControl w:val="false"/>
              <w:suppressLineNumbers w:val="false"/>
              <w:pBdr/>
              <w:spacing w:after="0" w:before="0" w:line="240" w:lineRule="auto"/>
              <w:ind/>
              <w:contextualSpacing w:val="false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  <w14:ligatures w14:val="none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11"/>
      <w:headerReference w:type="first" r:id="rId12"/>
      <w:footnotePr/>
      <w:endnotePr/>
      <w:type w:val="nextPage"/>
      <w:pgSz w:h="11906" w:orient="landscape" w:w="16838"/>
      <w:pgMar w:top="1135" w:right="678" w:bottom="1701" w:left="1134" w:header="709" w:footer="0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ndefined">
    <w:panose1 w:val="05040102010807070707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Consolas">
    <w:panose1 w:val="020B0609020204030204"/>
  </w:font>
  <w:font w:name="Segoe UI">
    <w:panose1 w:val="020B0502040204020203"/>
  </w:font>
  <w:font w:name="Calibri Light">
    <w:panose1 w:val="020F030202020403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pBdr/>
      <w:spacing/>
      <w:ind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 xml:space="preserve">12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91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pBdr/>
      <w:spacing/>
      <w:ind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 xml:space="preserve">19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910"/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8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9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0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1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6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7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0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1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5">
    <w:name w:val="toc 1"/>
    <w:basedOn w:val="844"/>
    <w:next w:val="844"/>
    <w:uiPriority w:val="39"/>
    <w:unhideWhenUsed/>
    <w:pPr>
      <w:pBdr/>
      <w:spacing w:after="100"/>
      <w:ind/>
    </w:pPr>
  </w:style>
  <w:style w:type="paragraph" w:styleId="836">
    <w:name w:val="toc 2"/>
    <w:basedOn w:val="844"/>
    <w:next w:val="844"/>
    <w:uiPriority w:val="39"/>
    <w:unhideWhenUsed/>
    <w:pPr>
      <w:pBdr/>
      <w:spacing w:after="100"/>
      <w:ind w:left="220"/>
    </w:pPr>
  </w:style>
  <w:style w:type="paragraph" w:styleId="837">
    <w:name w:val="toc 3"/>
    <w:basedOn w:val="844"/>
    <w:next w:val="844"/>
    <w:uiPriority w:val="39"/>
    <w:unhideWhenUsed/>
    <w:pPr>
      <w:pBdr/>
      <w:spacing w:after="100"/>
      <w:ind w:left="440"/>
    </w:pPr>
  </w:style>
  <w:style w:type="paragraph" w:styleId="838">
    <w:name w:val="toc 4"/>
    <w:basedOn w:val="844"/>
    <w:next w:val="844"/>
    <w:uiPriority w:val="39"/>
    <w:unhideWhenUsed/>
    <w:pPr>
      <w:pBdr/>
      <w:spacing w:after="100"/>
      <w:ind w:left="660"/>
    </w:pPr>
  </w:style>
  <w:style w:type="paragraph" w:styleId="839">
    <w:name w:val="toc 5"/>
    <w:basedOn w:val="844"/>
    <w:next w:val="844"/>
    <w:uiPriority w:val="39"/>
    <w:unhideWhenUsed/>
    <w:pPr>
      <w:pBdr/>
      <w:spacing w:after="100"/>
      <w:ind w:left="880"/>
    </w:pPr>
  </w:style>
  <w:style w:type="paragraph" w:styleId="840">
    <w:name w:val="toc 6"/>
    <w:basedOn w:val="844"/>
    <w:next w:val="844"/>
    <w:uiPriority w:val="39"/>
    <w:unhideWhenUsed/>
    <w:pPr>
      <w:pBdr/>
      <w:spacing w:after="100"/>
      <w:ind w:left="1100"/>
    </w:pPr>
  </w:style>
  <w:style w:type="paragraph" w:styleId="841">
    <w:name w:val="toc 7"/>
    <w:basedOn w:val="844"/>
    <w:next w:val="844"/>
    <w:uiPriority w:val="39"/>
    <w:unhideWhenUsed/>
    <w:pPr>
      <w:pBdr/>
      <w:spacing w:after="100"/>
      <w:ind w:left="1320"/>
    </w:pPr>
  </w:style>
  <w:style w:type="paragraph" w:styleId="842">
    <w:name w:val="toc 8"/>
    <w:basedOn w:val="844"/>
    <w:next w:val="844"/>
    <w:uiPriority w:val="39"/>
    <w:unhideWhenUsed/>
    <w:pPr>
      <w:pBdr/>
      <w:spacing w:after="100"/>
      <w:ind w:left="1540"/>
    </w:pPr>
  </w:style>
  <w:style w:type="paragraph" w:styleId="843">
    <w:name w:val="toc 9"/>
    <w:basedOn w:val="844"/>
    <w:next w:val="844"/>
    <w:uiPriority w:val="39"/>
    <w:unhideWhenUsed/>
    <w:pPr>
      <w:pBdr/>
      <w:spacing w:after="100"/>
      <w:ind w:left="1760"/>
    </w:pPr>
  </w:style>
  <w:style w:type="paragraph" w:styleId="844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5">
    <w:name w:val="Heading 1"/>
    <w:basedOn w:val="844"/>
    <w:next w:val="844"/>
    <w:link w:val="883"/>
    <w:uiPriority w:val="9"/>
    <w:qFormat/>
    <w:pPr>
      <w:keepNext w:val="true"/>
      <w:keepLines w:val="true"/>
      <w:pBdr/>
      <w:spacing w:after="0" w:before="240" w:line="360" w:lineRule="auto"/>
      <w:ind w:firstLine="709"/>
      <w:outlineLvl w:val="0"/>
    </w:pPr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846">
    <w:name w:val="Heading 2"/>
    <w:basedOn w:val="844"/>
    <w:next w:val="844"/>
    <w:link w:val="85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7">
    <w:name w:val="Heading 3"/>
    <w:basedOn w:val="844"/>
    <w:next w:val="844"/>
    <w:link w:val="85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8">
    <w:name w:val="Heading 4"/>
    <w:basedOn w:val="844"/>
    <w:next w:val="844"/>
    <w:link w:val="85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9">
    <w:name w:val="Heading 5"/>
    <w:basedOn w:val="844"/>
    <w:next w:val="844"/>
    <w:link w:val="85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0">
    <w:name w:val="Heading 6"/>
    <w:basedOn w:val="844"/>
    <w:next w:val="844"/>
    <w:link w:val="85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1">
    <w:name w:val="Heading 7"/>
    <w:basedOn w:val="844"/>
    <w:next w:val="844"/>
    <w:link w:val="86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2">
    <w:name w:val="Heading 8"/>
    <w:basedOn w:val="844"/>
    <w:next w:val="844"/>
    <w:link w:val="861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3">
    <w:name w:val="Heading 9"/>
    <w:basedOn w:val="844"/>
    <w:next w:val="844"/>
    <w:link w:val="862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4">
    <w:name w:val="Heading 1 Char"/>
    <w:basedOn w:val="88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5">
    <w:name w:val="Heading 2 Char"/>
    <w:basedOn w:val="88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6">
    <w:name w:val="Heading 3 Char"/>
    <w:basedOn w:val="88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7">
    <w:name w:val="Heading 4 Char"/>
    <w:basedOn w:val="882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8">
    <w:name w:val="Heading 5 Char"/>
    <w:basedOn w:val="88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9">
    <w:name w:val="Heading 6 Char"/>
    <w:basedOn w:val="88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0">
    <w:name w:val="Heading 7 Char"/>
    <w:basedOn w:val="88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1">
    <w:name w:val="Heading 8 Char"/>
    <w:basedOn w:val="88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2">
    <w:name w:val="Heading 9 Char"/>
    <w:basedOn w:val="88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3">
    <w:name w:val="Title Char"/>
    <w:basedOn w:val="88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4">
    <w:name w:val="Subtitle Char"/>
    <w:basedOn w:val="88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5">
    <w:name w:val="Quote Char"/>
    <w:basedOn w:val="882"/>
    <w:link w:val="903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67">
    <w:name w:val="Intense Quote Char"/>
    <w:basedOn w:val="882"/>
    <w:link w:val="904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868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9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0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71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72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3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4">
    <w:name w:val="Header Char"/>
    <w:basedOn w:val="882"/>
    <w:uiPriority w:val="99"/>
    <w:qFormat/>
    <w:pPr>
      <w:pBdr/>
      <w:spacing/>
      <w:ind/>
    </w:pPr>
  </w:style>
  <w:style w:type="character" w:styleId="875">
    <w:name w:val="Footer Char"/>
    <w:basedOn w:val="882"/>
    <w:uiPriority w:val="99"/>
    <w:qFormat/>
    <w:pPr>
      <w:pBdr/>
      <w:spacing/>
      <w:ind/>
    </w:pPr>
  </w:style>
  <w:style w:type="character" w:styleId="876">
    <w:name w:val="Footnote Text Char"/>
    <w:basedOn w:val="882"/>
    <w:uiPriority w:val="99"/>
    <w:semiHidden/>
    <w:qFormat/>
    <w:pPr>
      <w:pBdr/>
      <w:spacing/>
      <w:ind/>
    </w:pPr>
    <w:rPr>
      <w:sz w:val="20"/>
      <w:szCs w:val="20"/>
    </w:rPr>
  </w:style>
  <w:style w:type="character" w:styleId="877">
    <w:name w:val="Символ сноски"/>
    <w:basedOn w:val="88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78">
    <w:name w:val="footnote reference"/>
    <w:pPr>
      <w:pBdr/>
      <w:spacing/>
      <w:ind/>
    </w:pPr>
    <w:rPr>
      <w:vertAlign w:val="superscript"/>
    </w:rPr>
  </w:style>
  <w:style w:type="character" w:styleId="879">
    <w:name w:val="Endnote Text Char"/>
    <w:basedOn w:val="882"/>
    <w:uiPriority w:val="99"/>
    <w:semiHidden/>
    <w:qFormat/>
    <w:pPr>
      <w:pBdr/>
      <w:spacing/>
      <w:ind/>
    </w:pPr>
    <w:rPr>
      <w:sz w:val="20"/>
      <w:szCs w:val="20"/>
    </w:rPr>
  </w:style>
  <w:style w:type="character" w:styleId="880">
    <w:name w:val="Символ концевой сноски"/>
    <w:basedOn w:val="88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81">
    <w:name w:val="endnote reference"/>
    <w:pPr>
      <w:pBdr/>
      <w:spacing/>
      <w:ind/>
    </w:pPr>
    <w:rPr>
      <w:vertAlign w:val="superscript"/>
    </w:rPr>
  </w:style>
  <w:style w:type="character" w:styleId="88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83" w:customStyle="1">
    <w:name w:val="Заголовок 1 Знак"/>
    <w:basedOn w:val="882"/>
    <w:uiPriority w:val="9"/>
    <w:qFormat/>
    <w:pPr>
      <w:pBdr/>
      <w:spacing/>
      <w:ind/>
    </w:pPr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884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5" w:customStyle="1">
    <w:name w:val="Верхний колонтитул Знак"/>
    <w:basedOn w:val="882"/>
    <w:uiPriority w:val="99"/>
    <w:qFormat/>
    <w:pPr>
      <w:pBdr/>
      <w:spacing/>
      <w:ind/>
    </w:pPr>
  </w:style>
  <w:style w:type="character" w:styleId="886" w:customStyle="1">
    <w:name w:val="Нижний колонтитул Знак"/>
    <w:basedOn w:val="882"/>
    <w:uiPriority w:val="99"/>
    <w:qFormat/>
    <w:pPr>
      <w:pBdr/>
      <w:spacing/>
      <w:ind/>
    </w:pPr>
  </w:style>
  <w:style w:type="character" w:styleId="887">
    <w:name w:val="annotation reference"/>
    <w:basedOn w:val="882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888" w:customStyle="1">
    <w:name w:val="Текст примечания Знак"/>
    <w:basedOn w:val="882"/>
    <w:link w:val="913"/>
    <w:uiPriority w:val="99"/>
    <w:semiHidden/>
    <w:qFormat/>
    <w:pPr>
      <w:pBdr/>
      <w:spacing/>
      <w:ind/>
    </w:pPr>
    <w:rPr>
      <w:sz w:val="20"/>
      <w:szCs w:val="20"/>
    </w:rPr>
  </w:style>
  <w:style w:type="character" w:styleId="889" w:customStyle="1">
    <w:name w:val="Тема примечания Знак"/>
    <w:basedOn w:val="888"/>
    <w:link w:val="914"/>
    <w:uiPriority w:val="99"/>
    <w:semiHidden/>
    <w:qFormat/>
    <w:pPr>
      <w:pBdr/>
      <w:spacing/>
      <w:ind/>
    </w:pPr>
    <w:rPr>
      <w:b/>
      <w:bCs/>
      <w:sz w:val="20"/>
      <w:szCs w:val="20"/>
    </w:rPr>
  </w:style>
  <w:style w:type="character" w:styleId="890" w:customStyle="1">
    <w:name w:val="Текст выноски Знак"/>
    <w:basedOn w:val="882"/>
    <w:link w:val="915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1">
    <w:name w:val="Placeholder Text"/>
    <w:basedOn w:val="882"/>
    <w:uiPriority w:val="99"/>
    <w:semiHidden/>
    <w:qFormat/>
    <w:pPr>
      <w:pBdr/>
      <w:spacing/>
      <w:ind/>
    </w:pPr>
    <w:rPr>
      <w:color w:val="808080"/>
    </w:rPr>
  </w:style>
  <w:style w:type="character" w:styleId="892" w:customStyle="1">
    <w:name w:val="apple-converted-space"/>
    <w:basedOn w:val="882"/>
    <w:qFormat/>
    <w:pPr>
      <w:pBdr/>
      <w:spacing/>
      <w:ind/>
    </w:pPr>
  </w:style>
  <w:style w:type="character" w:styleId="893">
    <w:name w:val="FollowedHyperlink"/>
    <w:basedOn w:val="882"/>
    <w:uiPriority w:val="99"/>
    <w:semiHidden/>
    <w:unhideWhenUsed/>
    <w:pPr>
      <w:pBdr/>
      <w:spacing/>
      <w:ind/>
    </w:pPr>
    <w:rPr>
      <w:color w:val="954f72"/>
      <w:u w:val="single"/>
    </w:rPr>
  </w:style>
  <w:style w:type="character" w:styleId="894" w:customStyle="1">
    <w:name w:val="Стандартный HTML Знак"/>
    <w:basedOn w:val="882"/>
    <w:link w:val="932"/>
    <w:uiPriority w:val="99"/>
    <w:semiHidden/>
    <w:qFormat/>
    <w:pPr>
      <w:pBdr/>
      <w:spacing/>
      <w:ind/>
    </w:pPr>
    <w:rPr>
      <w:rFonts w:ascii="Consolas" w:hAnsi="Consolas" w:cs="Consolas"/>
      <w:sz w:val="20"/>
      <w:szCs w:val="20"/>
    </w:rPr>
  </w:style>
  <w:style w:type="character" w:styleId="895">
    <w:name w:val="Unresolved Mention"/>
    <w:basedOn w:val="882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896">
    <w:name w:val="Заголовок"/>
    <w:basedOn w:val="844"/>
    <w:next w:val="897"/>
    <w:qFormat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897">
    <w:name w:val="Body Text"/>
    <w:basedOn w:val="844"/>
    <w:pPr>
      <w:pBdr/>
      <w:spacing w:after="140" w:before="0" w:line="276" w:lineRule="auto"/>
      <w:ind/>
    </w:pPr>
  </w:style>
  <w:style w:type="paragraph" w:styleId="898">
    <w:name w:val="List"/>
    <w:basedOn w:val="897"/>
    <w:pPr>
      <w:pBdr/>
      <w:spacing/>
      <w:ind/>
    </w:pPr>
    <w:rPr>
      <w:rFonts w:ascii="PT Astra Serif" w:hAnsi="PT Astra Serif" w:cs="Noto Sans Devanagari"/>
    </w:rPr>
  </w:style>
  <w:style w:type="paragraph" w:styleId="899">
    <w:name w:val="Caption"/>
    <w:basedOn w:val="844"/>
    <w:qFormat/>
    <w:pPr>
      <w:suppressLineNumbers w:val="true"/>
      <w:pBdr/>
      <w:spacing w:after="120" w:before="120"/>
      <w:ind/>
    </w:pPr>
    <w:rPr>
      <w:rFonts w:ascii="PT Astra Serif" w:hAnsi="PT Astra Serif" w:cs="Noto Sans Devanagari"/>
      <w:i/>
      <w:iCs/>
      <w:sz w:val="24"/>
      <w:szCs w:val="24"/>
    </w:rPr>
  </w:style>
  <w:style w:type="paragraph" w:styleId="900">
    <w:name w:val="Указатель"/>
    <w:basedOn w:val="844"/>
    <w:qFormat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901">
    <w:name w:val="Title"/>
    <w:basedOn w:val="844"/>
    <w:next w:val="844"/>
    <w:link w:val="863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902">
    <w:name w:val="Subtitle"/>
    <w:basedOn w:val="844"/>
    <w:next w:val="844"/>
    <w:link w:val="864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3">
    <w:name w:val="Quote"/>
    <w:basedOn w:val="844"/>
    <w:next w:val="844"/>
    <w:link w:val="865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904">
    <w:name w:val="Intense Quote"/>
    <w:basedOn w:val="844"/>
    <w:next w:val="844"/>
    <w:link w:val="867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jc w:val="center"/>
    </w:pPr>
    <w:rPr>
      <w:i/>
      <w:iCs/>
      <w:color w:val="0f4761" w:themeColor="accent1" w:themeShade="BF"/>
    </w:rPr>
  </w:style>
  <w:style w:type="paragraph" w:styleId="905">
    <w:name w:val="No Spacing"/>
    <w:basedOn w:val="844"/>
    <w:uiPriority w:val="1"/>
    <w:qFormat/>
    <w:pPr>
      <w:pBdr/>
      <w:spacing w:after="0" w:before="0" w:line="240" w:lineRule="auto"/>
      <w:ind/>
    </w:pPr>
  </w:style>
  <w:style w:type="paragraph" w:styleId="906">
    <w:name w:val="footnote text"/>
    <w:basedOn w:val="844"/>
    <w:link w:val="876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907">
    <w:name w:val="endnote text"/>
    <w:basedOn w:val="844"/>
    <w:link w:val="879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908">
    <w:name w:val="table of figures"/>
    <w:basedOn w:val="844"/>
    <w:next w:val="844"/>
    <w:uiPriority w:val="99"/>
    <w:unhideWhenUsed/>
    <w:qFormat/>
    <w:pPr>
      <w:pBdr/>
      <w:spacing w:after="0" w:afterAutospacing="0" w:before="0"/>
      <w:ind/>
    </w:pPr>
  </w:style>
  <w:style w:type="paragraph" w:styleId="909">
    <w:name w:val="Колонтитул"/>
    <w:basedOn w:val="844"/>
    <w:qFormat/>
    <w:pPr>
      <w:pBdr/>
      <w:spacing/>
      <w:ind/>
    </w:pPr>
  </w:style>
  <w:style w:type="paragraph" w:styleId="910">
    <w:name w:val="Header"/>
    <w:basedOn w:val="844"/>
    <w:link w:val="885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 w:after="0" w:before="0" w:line="240" w:lineRule="auto"/>
      <w:ind w:firstLine="709"/>
    </w:pPr>
  </w:style>
  <w:style w:type="paragraph" w:styleId="911">
    <w:name w:val="Footer"/>
    <w:basedOn w:val="844"/>
    <w:link w:val="886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 w:after="0" w:before="0" w:line="240" w:lineRule="auto"/>
      <w:ind w:firstLine="709"/>
    </w:pPr>
  </w:style>
  <w:style w:type="paragraph" w:styleId="912">
    <w:name w:val="List Paragraph"/>
    <w:basedOn w:val="844"/>
    <w:uiPriority w:val="34"/>
    <w:qFormat/>
    <w:pPr>
      <w:pBdr/>
      <w:spacing w:after="0" w:before="0" w:line="360" w:lineRule="auto"/>
      <w:ind w:firstLine="709" w:left="720"/>
      <w:contextualSpacing w:val="true"/>
    </w:pPr>
  </w:style>
  <w:style w:type="paragraph" w:styleId="913">
    <w:name w:val="annotation text"/>
    <w:basedOn w:val="844"/>
    <w:link w:val="888"/>
    <w:uiPriority w:val="99"/>
    <w:semiHidden/>
    <w:unhideWhenUsed/>
    <w:qFormat/>
    <w:pPr>
      <w:pBdr/>
      <w:spacing w:after="0" w:before="0" w:line="240" w:lineRule="auto"/>
      <w:ind w:firstLine="709"/>
    </w:pPr>
    <w:rPr>
      <w:sz w:val="20"/>
      <w:szCs w:val="20"/>
    </w:rPr>
  </w:style>
  <w:style w:type="paragraph" w:styleId="914">
    <w:name w:val="annotation subject"/>
    <w:basedOn w:val="913"/>
    <w:next w:val="913"/>
    <w:link w:val="889"/>
    <w:uiPriority w:val="99"/>
    <w:semiHidden/>
    <w:unhideWhenUsed/>
    <w:qFormat/>
    <w:pPr>
      <w:pBdr/>
      <w:spacing/>
      <w:ind/>
    </w:pPr>
    <w:rPr>
      <w:b/>
      <w:bCs/>
    </w:rPr>
  </w:style>
  <w:style w:type="paragraph" w:styleId="915">
    <w:name w:val="Balloon Text"/>
    <w:basedOn w:val="844"/>
    <w:link w:val="890"/>
    <w:uiPriority w:val="99"/>
    <w:semiHidden/>
    <w:unhideWhenUsed/>
    <w:qFormat/>
    <w:pPr>
      <w:pBdr/>
      <w:spacing w:after="0" w:before="0" w:line="240" w:lineRule="auto"/>
      <w:ind w:firstLine="709"/>
    </w:pPr>
    <w:rPr>
      <w:rFonts w:ascii="Segoe UI" w:hAnsi="Segoe UI" w:cs="Segoe UI"/>
      <w:sz w:val="18"/>
      <w:szCs w:val="18"/>
    </w:rPr>
  </w:style>
  <w:style w:type="paragraph" w:styleId="916">
    <w:name w:val="Index Heading"/>
    <w:basedOn w:val="896"/>
    <w:pPr>
      <w:pBdr/>
      <w:spacing/>
      <w:ind/>
    </w:pPr>
  </w:style>
  <w:style w:type="paragraph" w:styleId="917">
    <w:name w:val="TOC Heading"/>
    <w:basedOn w:val="845"/>
    <w:next w:val="844"/>
    <w:uiPriority w:val="39"/>
    <w:unhideWhenUsed/>
    <w:qFormat/>
    <w:pPr>
      <w:pBdr/>
      <w:spacing w:line="259" w:lineRule="auto"/>
      <w:ind w:firstLine="0"/>
      <w:outlineLvl w:val="9"/>
    </w:pPr>
    <w:rPr>
      <w:lang w:eastAsia="ru-RU"/>
    </w:rPr>
  </w:style>
  <w:style w:type="paragraph" w:styleId="918" w:customStyle="1">
    <w:name w:val="xl65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9" w:customStyle="1">
    <w:name w:val="xl66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0" w:customStyle="1">
    <w:name w:val="xl67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1" w:customStyle="1">
    <w:name w:val="xl68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2" w:customStyle="1">
    <w:name w:val="xl69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3" w:customStyle="1">
    <w:name w:val="xl70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4" w:customStyle="1">
    <w:name w:val="xl71"/>
    <w:basedOn w:val="844"/>
    <w:qFormat/>
    <w:pPr>
      <w:pBdr>
        <w:top w:val="single" w:color="000000" w:sz="4" w:space="0"/>
        <w:bottom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5" w:customStyle="1">
    <w:name w:val="xl72"/>
    <w:basedOn w:val="844"/>
    <w:qFormat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6" w:customStyle="1">
    <w:name w:val="xl73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7" w:customStyle="1">
    <w:name w:val="xl74"/>
    <w:basedOn w:val="844"/>
    <w:qFormat/>
    <w:pPr>
      <w:pBdr>
        <w:top w:val="single" w:color="000000" w:sz="4" w:space="0"/>
        <w:bottom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8" w:customStyle="1">
    <w:name w:val="xl75"/>
    <w:basedOn w:val="844"/>
    <w:qFormat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9" w:customStyle="1">
    <w:name w:val="xl76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0" w:customStyle="1">
    <w:name w:val="xl63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1" w:customStyle="1">
    <w:name w:val="xl64"/>
    <w:basedOn w:val="844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2">
    <w:name w:val="HTML Preformatted"/>
    <w:basedOn w:val="844"/>
    <w:link w:val="894"/>
    <w:uiPriority w:val="99"/>
    <w:semiHidden/>
    <w:unhideWhenUsed/>
    <w:qFormat/>
    <w:pPr>
      <w:pBdr/>
      <w:spacing w:after="0" w:before="0" w:line="240" w:lineRule="auto"/>
      <w:ind/>
    </w:pPr>
    <w:rPr>
      <w:rFonts w:ascii="Consolas" w:hAnsi="Consolas" w:cs="Consolas"/>
      <w:sz w:val="20"/>
      <w:szCs w:val="20"/>
    </w:rPr>
  </w:style>
  <w:style w:type="paragraph" w:styleId="933" w:customStyle="1">
    <w:name w:val="msonormal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4">
    <w:name w:val="Normal (Web)"/>
    <w:basedOn w:val="844"/>
    <w:uiPriority w:val="99"/>
    <w:semiHidden/>
    <w:unhideWhenUsed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935" w:default="1">
    <w:name w:val="No List"/>
    <w:uiPriority w:val="99"/>
    <w:semiHidden/>
    <w:unhideWhenUsed/>
    <w:qFormat/>
    <w:pPr>
      <w:pBdr/>
      <w:spacing/>
      <w:ind/>
    </w:pPr>
  </w:style>
  <w:style w:type="numbering" w:styleId="936" w:customStyle="1">
    <w:name w:val="Нет списка111"/>
    <w:uiPriority w:val="99"/>
    <w:semiHidden/>
    <w:unhideWhenUsed/>
    <w:qFormat/>
    <w:pPr>
      <w:pBdr/>
      <w:spacing/>
      <w:ind/>
    </w:pPr>
  </w:style>
  <w:style w:type="numbering" w:styleId="937" w:customStyle="1">
    <w:name w:val="Нет списка1111"/>
    <w:uiPriority w:val="99"/>
    <w:semiHidden/>
    <w:unhideWhenUsed/>
    <w:qFormat/>
    <w:pPr>
      <w:pBdr/>
      <w:spacing/>
      <w:ind/>
    </w:pPr>
  </w:style>
  <w:style w:type="numbering" w:styleId="938" w:customStyle="1">
    <w:name w:val="Нет списка11111"/>
    <w:uiPriority w:val="99"/>
    <w:semiHidden/>
    <w:unhideWhenUsed/>
    <w:qFormat/>
    <w:pPr>
      <w:pBdr/>
      <w:spacing/>
      <w:ind/>
    </w:pPr>
  </w:style>
  <w:style w:type="numbering" w:styleId="939" w:customStyle="1">
    <w:name w:val="Нет списка121"/>
    <w:uiPriority w:val="99"/>
    <w:semiHidden/>
    <w:unhideWhenUsed/>
    <w:qFormat/>
    <w:pPr>
      <w:pBdr/>
      <w:spacing/>
      <w:ind/>
    </w:pPr>
  </w:style>
  <w:style w:type="numbering" w:styleId="940" w:customStyle="1">
    <w:name w:val="Нет списка112"/>
    <w:uiPriority w:val="99"/>
    <w:semiHidden/>
    <w:unhideWhenUsed/>
    <w:qFormat/>
    <w:pPr>
      <w:pBdr/>
      <w:spacing/>
      <w:ind/>
    </w:pPr>
  </w:style>
  <w:style w:type="numbering" w:styleId="941" w:customStyle="1">
    <w:name w:val="Нет списка1112"/>
    <w:uiPriority w:val="99"/>
    <w:semiHidden/>
    <w:unhideWhenUsed/>
    <w:qFormat/>
    <w:pPr>
      <w:pBdr/>
      <w:spacing/>
      <w:ind/>
    </w:pPr>
  </w:style>
  <w:style w:type="table" w:styleId="942">
    <w:name w:val="Table Grid Light"/>
    <w:basedOn w:val="1067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Plain Table 1"/>
    <w:basedOn w:val="1067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Plain Table 2"/>
    <w:basedOn w:val="106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Plain Table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Plain Table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Plain Table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1 Light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1 Light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1 Light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Grid Table 1 Light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1 Light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1 Light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1 Light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Grid Table 2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2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2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2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2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2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3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3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3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3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Grid Table 3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3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4"/>
    <w:basedOn w:val="10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Grid Table 4 - Accent 1"/>
    <w:basedOn w:val="10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Grid Table 4 - Accent 2"/>
    <w:basedOn w:val="10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Grid Table 4 - Accent 3"/>
    <w:basedOn w:val="10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4 - Accent 4"/>
    <w:basedOn w:val="10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4 - Accent 5"/>
    <w:basedOn w:val="10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Grid Table 4 - Accent 6"/>
    <w:basedOn w:val="10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5 Dark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Grid Table 5 Dark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5 Dark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5 Dark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5 Dark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5 Dark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5 Dark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6 Colorful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Grid Table 6 Colorful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Grid Table 6 Colorful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Grid Table 6 Colorful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6 Colorful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6 Colorful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6 Colorful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7 Colorful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Grid Table 7 Colorful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Grid Table 7 Colorful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7 Colorful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7 Colorful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Grid Table 7 Colorful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7 Colorful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1 Light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1 Light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st Table 1 Light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1 Light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1 Light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1 Light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1 Light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2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2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2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2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2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2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st Table 3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3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st Table 3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3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3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3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List Table 4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List Table 4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st Table 4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st Table 4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st Table 4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st Table 4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st Table 5 Dark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List Table 5 Dark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List Table 5 Dark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List Table 5 Dark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5 Dark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List Table 5 Dark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List Table 5 Dark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6 Colorful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List Table 6 Colorful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List Table 6 Colorful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List Table 6 Colorful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6 Colorful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List Table 6 Colorful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List Table 6 Colorful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7 Colorful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List Table 7 Colorful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List Table 7 Colorful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List Table 7 Colorful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7 Colorful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List Table 7 Colorful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List Table 7 Colorful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ned - Accent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Lined - Accent 1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Lined - Accent 2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Lined - Accent 3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Lined - Accent 4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Lined - Accent 5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Lined - Accent 6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Bordered &amp; Lined - Accent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Bordered &amp; Lined - Accent 1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Bordered &amp; Lined - Accent 2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Bordered &amp; Lined - Accent 3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Bordered &amp; Lined - Accent 4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Bordered &amp; Lined - Accent 5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Bordered &amp; Lined - Accent 6"/>
    <w:basedOn w:val="10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Bordered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Bordered - Accent 1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Bordered - Accent 2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Bordered - Accent 3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Bordered - Accent 4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Bordered - Accent 5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Bordered - Accent 6"/>
    <w:basedOn w:val="10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Table Grid"/>
    <w:basedOn w:val="106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Сетка таблицы1"/>
    <w:basedOn w:val="106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Сетка таблицы2"/>
    <w:basedOn w:val="106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Сетка таблицы11"/>
    <w:basedOn w:val="106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Сетка таблицы3"/>
    <w:basedOn w:val="106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Сетка таблицы12"/>
    <w:basedOn w:val="106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Сетка таблицы13"/>
    <w:basedOn w:val="106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bus.gov.ru/" TargetMode="External"/><Relationship Id="rId16" Type="http://schemas.openxmlformats.org/officeDocument/2006/relationships/hyperlink" Target="http://www.bus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7D4E6-D1CC-40B3-852B-B0BDEDF3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Морозова</dc:creator>
  <dc:description/>
  <dc:language>ru-RU</dc:language>
  <cp:revision>283</cp:revision>
  <dcterms:created xsi:type="dcterms:W3CDTF">2023-05-29T06:25:00Z</dcterms:created>
  <dcterms:modified xsi:type="dcterms:W3CDTF">2025-05-29T08:46:03Z</dcterms:modified>
</cp:coreProperties>
</file>